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995" w:rsidRPr="00462295" w:rsidRDefault="00974995" w:rsidP="00A52773">
      <w:pPr>
        <w:pStyle w:val="Encabezado"/>
        <w:rPr>
          <w:b/>
          <w:lang w:val="en-US"/>
        </w:rPr>
      </w:pPr>
    </w:p>
    <w:p w:rsidR="004A32EC" w:rsidRDefault="00A52773" w:rsidP="00462295">
      <w:pPr>
        <w:pStyle w:val="Encabezado"/>
        <w:rPr>
          <w:b/>
          <w:lang w:val="en-US"/>
        </w:rPr>
      </w:pPr>
      <w:r w:rsidRPr="00462295">
        <w:rPr>
          <w:b/>
          <w:lang w:val="en-US"/>
        </w:rPr>
        <w:t>Analy</w:t>
      </w:r>
      <w:r w:rsidR="00DF6338" w:rsidRPr="00462295">
        <w:rPr>
          <w:b/>
          <w:lang w:val="en-US"/>
        </w:rPr>
        <w:t>sis and assessment of the risks:</w:t>
      </w:r>
    </w:p>
    <w:p w:rsidR="004A32EC" w:rsidRDefault="004A32EC" w:rsidP="00462295">
      <w:pPr>
        <w:pStyle w:val="Encabezado"/>
        <w:rPr>
          <w:b/>
          <w:lang w:val="en-US"/>
        </w:rPr>
      </w:pPr>
    </w:p>
    <w:p w:rsidR="00CB19C4" w:rsidRPr="004A32EC" w:rsidRDefault="0092337D" w:rsidP="00462295">
      <w:pPr>
        <w:pStyle w:val="Encabezado"/>
        <w:rPr>
          <w:b/>
          <w:lang w:val="en-US"/>
        </w:rPr>
      </w:pPr>
      <w:r w:rsidRPr="00462295">
        <w:rPr>
          <w:b/>
          <w:color w:val="000000"/>
        </w:rPr>
        <w:t xml:space="preserve">Assessment performed based in the analysis of: </w:t>
      </w:r>
    </w:p>
    <w:p w:rsidR="00462295" w:rsidRPr="00462295" w:rsidRDefault="00462295" w:rsidP="00462295">
      <w:pPr>
        <w:pStyle w:val="Encabezado"/>
        <w:rPr>
          <w:b/>
          <w:color w:val="000000"/>
        </w:rPr>
      </w:pPr>
    </w:p>
    <w:p w:rsidR="00462295" w:rsidRPr="00462295" w:rsidRDefault="00CB19C4" w:rsidP="00462295">
      <w:pPr>
        <w:rPr>
          <w:lang w:val="en-US"/>
        </w:rPr>
      </w:pPr>
      <w:r w:rsidRPr="00462295">
        <w:rPr>
          <w:b/>
          <w:lang w:val="en-US"/>
        </w:rPr>
        <w:t>Standards:</w:t>
      </w:r>
      <w:r w:rsidR="00462295">
        <w:rPr>
          <w:b/>
          <w:sz w:val="28"/>
          <w:lang w:val="en-US"/>
        </w:rPr>
        <w:br w:type="page"/>
      </w:r>
    </w:p>
    <w:p w:rsidR="00974995" w:rsidRPr="00974995" w:rsidRDefault="00974995" w:rsidP="00974995">
      <w:pPr>
        <w:pStyle w:val="Prrafodelista"/>
        <w:spacing w:after="200" w:line="276" w:lineRule="auto"/>
        <w:jc w:val="left"/>
        <w:rPr>
          <w:b/>
          <w:sz w:val="28"/>
          <w:lang w:val="en-US"/>
        </w:rPr>
      </w:pPr>
      <w:r w:rsidRPr="00974995">
        <w:rPr>
          <w:b/>
          <w:sz w:val="28"/>
          <w:lang w:val="en-US"/>
        </w:rPr>
        <w:lastRenderedPageBreak/>
        <w:t>INDEX</w:t>
      </w:r>
    </w:p>
    <w:p w:rsidR="00974995" w:rsidRPr="00974995" w:rsidRDefault="00974995" w:rsidP="00974995">
      <w:pPr>
        <w:pStyle w:val="Prrafodelista"/>
        <w:spacing w:after="200" w:line="276" w:lineRule="auto"/>
        <w:jc w:val="left"/>
        <w:rPr>
          <w:b/>
          <w:lang w:val="en-US"/>
        </w:rPr>
      </w:pPr>
    </w:p>
    <w:p w:rsidR="003A20AC" w:rsidRPr="003A20AC" w:rsidRDefault="005405D6" w:rsidP="003A20AC">
      <w:pPr>
        <w:pStyle w:val="Prrafodelista"/>
        <w:numPr>
          <w:ilvl w:val="0"/>
          <w:numId w:val="6"/>
        </w:numPr>
        <w:spacing w:after="200" w:line="276" w:lineRule="auto"/>
        <w:ind w:left="720"/>
        <w:jc w:val="left"/>
        <w:rPr>
          <w:b/>
          <w:lang w:val="en-US"/>
        </w:rPr>
      </w:pPr>
      <w:r w:rsidRPr="007E60BC">
        <w:rPr>
          <w:b/>
          <w:lang w:val="es-ES"/>
        </w:rPr>
        <w:t xml:space="preserve">General </w:t>
      </w:r>
      <w:r w:rsidRPr="007E60BC">
        <w:rPr>
          <w:b/>
          <w:lang w:val="en-US"/>
        </w:rPr>
        <w:t>conditions</w:t>
      </w:r>
    </w:p>
    <w:p w:rsidR="003A20AC" w:rsidRPr="003A20AC" w:rsidRDefault="005405D6" w:rsidP="003A20AC">
      <w:pPr>
        <w:pStyle w:val="Prrafodelista"/>
        <w:numPr>
          <w:ilvl w:val="0"/>
          <w:numId w:val="6"/>
        </w:numPr>
        <w:spacing w:after="200" w:line="276" w:lineRule="auto"/>
        <w:ind w:left="720"/>
        <w:jc w:val="left"/>
        <w:rPr>
          <w:b/>
          <w:lang w:val="en-US"/>
        </w:rPr>
      </w:pPr>
      <w:r w:rsidRPr="007E60BC">
        <w:rPr>
          <w:b/>
          <w:lang w:val="en-US"/>
        </w:rPr>
        <w:t>Protection against hazards arising from the electrical equipment</w:t>
      </w:r>
    </w:p>
    <w:p w:rsidR="001F26DD" w:rsidRPr="007E60BC" w:rsidRDefault="005405D6" w:rsidP="001F26DD">
      <w:pPr>
        <w:pStyle w:val="Prrafodelista"/>
        <w:numPr>
          <w:ilvl w:val="0"/>
          <w:numId w:val="6"/>
        </w:numPr>
        <w:spacing w:after="200" w:line="276" w:lineRule="auto"/>
        <w:ind w:left="720"/>
        <w:jc w:val="left"/>
        <w:rPr>
          <w:b/>
          <w:lang w:val="en-US"/>
        </w:rPr>
      </w:pPr>
      <w:r w:rsidRPr="007E60BC">
        <w:rPr>
          <w:b/>
          <w:lang w:val="en-US"/>
        </w:rPr>
        <w:t>Protection against hazards which may be caused by external influences on the electrical equipment</w:t>
      </w:r>
    </w:p>
    <w:p w:rsidR="00974995" w:rsidRPr="007E60BC" w:rsidRDefault="005405D6" w:rsidP="007E60BC">
      <w:pPr>
        <w:pStyle w:val="Prrafodelista"/>
        <w:numPr>
          <w:ilvl w:val="0"/>
          <w:numId w:val="6"/>
        </w:numPr>
        <w:spacing w:after="200" w:line="276" w:lineRule="auto"/>
        <w:ind w:left="720"/>
        <w:jc w:val="left"/>
        <w:rPr>
          <w:b/>
          <w:lang w:val="en-US"/>
        </w:rPr>
      </w:pPr>
      <w:r w:rsidRPr="007E60BC">
        <w:rPr>
          <w:b/>
          <w:lang w:val="en-US"/>
        </w:rPr>
        <w:t>Protection against hazards arising from the pneumatic equipment</w:t>
      </w:r>
    </w:p>
    <w:p w:rsidR="001F26DD" w:rsidRPr="007E60BC" w:rsidRDefault="00BE3F08" w:rsidP="0077722F">
      <w:pPr>
        <w:pStyle w:val="Prrafodelista"/>
        <w:numPr>
          <w:ilvl w:val="0"/>
          <w:numId w:val="6"/>
        </w:numPr>
        <w:spacing w:after="200" w:line="276" w:lineRule="auto"/>
        <w:ind w:left="720"/>
        <w:jc w:val="left"/>
        <w:rPr>
          <w:b/>
          <w:lang w:val="en-US"/>
        </w:rPr>
      </w:pPr>
      <w:r w:rsidRPr="007E60BC">
        <w:rPr>
          <w:b/>
          <w:lang w:val="en-US"/>
        </w:rPr>
        <w:t>Functioning issues based on control modes</w:t>
      </w:r>
      <w:r w:rsidR="005405D6" w:rsidRPr="007E60BC">
        <w:rPr>
          <w:b/>
          <w:lang w:val="en-US"/>
        </w:rPr>
        <w:t xml:space="preserve"> </w:t>
      </w:r>
      <w:r w:rsidR="006A076B" w:rsidRPr="007E60BC">
        <w:rPr>
          <w:b/>
          <w:lang w:val="en-US"/>
        </w:rPr>
        <w:t>(pressure, volume, error)</w:t>
      </w:r>
    </w:p>
    <w:p w:rsidR="009A28AD" w:rsidRPr="008B6B0B" w:rsidRDefault="00EF132C" w:rsidP="008B6B0B">
      <w:pPr>
        <w:pStyle w:val="Prrafodelista"/>
        <w:numPr>
          <w:ilvl w:val="0"/>
          <w:numId w:val="6"/>
        </w:numPr>
        <w:spacing w:after="200" w:line="276" w:lineRule="auto"/>
        <w:ind w:left="720"/>
        <w:jc w:val="left"/>
        <w:rPr>
          <w:b/>
          <w:lang w:val="en-US"/>
        </w:rPr>
      </w:pPr>
      <w:r w:rsidRPr="007E60BC">
        <w:rPr>
          <w:b/>
          <w:lang w:val="en-US"/>
        </w:rPr>
        <w:t>Protection against hazards arising of patient actions</w:t>
      </w:r>
      <w:r w:rsidR="00BE3F08" w:rsidRPr="00EF132C">
        <w:rPr>
          <w:lang w:val="en-US"/>
        </w:rPr>
        <w:br w:type="page"/>
      </w:r>
    </w:p>
    <w:p w:rsidR="0077722F" w:rsidRPr="003F5776" w:rsidRDefault="0077722F" w:rsidP="009A28AD">
      <w:pPr>
        <w:pStyle w:val="Default"/>
        <w:ind w:left="708"/>
        <w:jc w:val="both"/>
        <w:rPr>
          <w:lang w:val="en-US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4040" w:type="pct"/>
        <w:tblLook w:val="04A0" w:firstRow="1" w:lastRow="0" w:firstColumn="1" w:lastColumn="0" w:noHBand="0" w:noVBand="1"/>
      </w:tblPr>
      <w:tblGrid>
        <w:gridCol w:w="4040"/>
        <w:gridCol w:w="1341"/>
        <w:gridCol w:w="4808"/>
        <w:gridCol w:w="1118"/>
      </w:tblGrid>
      <w:tr w:rsidR="0077722F" w:rsidRPr="00FE6CFE" w:rsidTr="00226F22">
        <w:trPr>
          <w:trHeight w:val="1084"/>
          <w:tblHeader/>
        </w:trPr>
        <w:tc>
          <w:tcPr>
            <w:tcW w:w="238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22F" w:rsidRPr="00056205" w:rsidRDefault="0077722F" w:rsidP="0002508D">
            <w:pPr>
              <w:spacing w:line="276" w:lineRule="auto"/>
              <w:jc w:val="center"/>
              <w:rPr>
                <w:b/>
                <w:lang w:val="en-US"/>
              </w:rPr>
            </w:pPr>
            <w:r w:rsidRPr="00056205">
              <w:rPr>
                <w:b/>
                <w:lang w:val="es-ES"/>
              </w:rPr>
              <w:t xml:space="preserve">Safety </w:t>
            </w:r>
            <w:r w:rsidRPr="00056205">
              <w:rPr>
                <w:b/>
                <w:lang w:val="en-US"/>
              </w:rPr>
              <w:t>Objectives</w:t>
            </w:r>
          </w:p>
        </w:tc>
        <w:tc>
          <w:tcPr>
            <w:tcW w:w="212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22F" w:rsidRPr="00056205" w:rsidRDefault="0077722F" w:rsidP="0002508D">
            <w:pPr>
              <w:spacing w:line="276" w:lineRule="auto"/>
              <w:jc w:val="center"/>
              <w:rPr>
                <w:b/>
                <w:lang w:val="en-US"/>
              </w:rPr>
            </w:pPr>
            <w:r w:rsidRPr="00056205">
              <w:rPr>
                <w:b/>
                <w:lang w:val="en-US"/>
              </w:rPr>
              <w:t>Design features of the product  to cover this objective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722F" w:rsidRPr="00056205" w:rsidRDefault="0077722F" w:rsidP="0002508D">
            <w:pPr>
              <w:spacing w:line="276" w:lineRule="auto"/>
              <w:jc w:val="center"/>
              <w:rPr>
                <w:b/>
                <w:lang w:val="es-ES"/>
              </w:rPr>
            </w:pPr>
            <w:proofErr w:type="spellStart"/>
            <w:r w:rsidRPr="00056205">
              <w:rPr>
                <w:b/>
                <w:lang w:val="es-ES"/>
              </w:rPr>
              <w:t>Remarks</w:t>
            </w:r>
            <w:proofErr w:type="spellEnd"/>
          </w:p>
        </w:tc>
      </w:tr>
      <w:tr w:rsidR="00305D72" w:rsidRPr="00556F94" w:rsidTr="00B666FE">
        <w:trPr>
          <w:trHeight w:val="546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05D72" w:rsidRPr="00BF0539" w:rsidRDefault="005405D6" w:rsidP="0002508D">
            <w:pPr>
              <w:spacing w:before="240" w:after="240"/>
              <w:jc w:val="center"/>
              <w:rPr>
                <w:b/>
                <w:lang w:val="en-US"/>
              </w:rPr>
            </w:pPr>
            <w:r w:rsidRPr="00BF0539">
              <w:rPr>
                <w:b/>
                <w:lang w:val="es-ES"/>
              </w:rPr>
              <w:t xml:space="preserve">1. General </w:t>
            </w:r>
            <w:r w:rsidRPr="00BF0539">
              <w:rPr>
                <w:b/>
                <w:lang w:val="en-US"/>
              </w:rPr>
              <w:t>conditions</w:t>
            </w:r>
          </w:p>
        </w:tc>
      </w:tr>
      <w:tr w:rsidR="0077722F" w:rsidRPr="00556F94" w:rsidTr="00226F22">
        <w:trPr>
          <w:trHeight w:val="298"/>
        </w:trPr>
        <w:tc>
          <w:tcPr>
            <w:tcW w:w="1787" w:type="pct"/>
            <w:vAlign w:val="center"/>
          </w:tcPr>
          <w:p w:rsidR="0077722F" w:rsidRPr="00B15757" w:rsidRDefault="0077722F" w:rsidP="0002508D">
            <w:pPr>
              <w:spacing w:before="240" w:after="240" w:line="276" w:lineRule="auto"/>
              <w:rPr>
                <w:lang w:val="en-US"/>
              </w:rPr>
            </w:pPr>
          </w:p>
        </w:tc>
        <w:tc>
          <w:tcPr>
            <w:tcW w:w="593" w:type="pct"/>
            <w:vAlign w:val="center"/>
          </w:tcPr>
          <w:p w:rsidR="0077722F" w:rsidRDefault="0077722F" w:rsidP="0002508D">
            <w:pPr>
              <w:spacing w:before="240" w:after="240"/>
              <w:jc w:val="center"/>
              <w:rPr>
                <w:lang w:val="en-US"/>
              </w:rPr>
            </w:pPr>
          </w:p>
        </w:tc>
        <w:tc>
          <w:tcPr>
            <w:tcW w:w="2126" w:type="pct"/>
            <w:vAlign w:val="center"/>
          </w:tcPr>
          <w:p w:rsidR="0077722F" w:rsidRPr="00556F94" w:rsidRDefault="0077722F" w:rsidP="0002508D">
            <w:pPr>
              <w:spacing w:before="240" w:after="240"/>
              <w:rPr>
                <w:lang w:val="en-US"/>
              </w:rPr>
            </w:pPr>
          </w:p>
        </w:tc>
        <w:tc>
          <w:tcPr>
            <w:tcW w:w="494" w:type="pct"/>
            <w:vAlign w:val="center"/>
          </w:tcPr>
          <w:p w:rsidR="0077722F" w:rsidRPr="00556F94" w:rsidRDefault="00226F22" w:rsidP="00226F22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>See #</w:t>
            </w:r>
          </w:p>
        </w:tc>
      </w:tr>
      <w:tr w:rsidR="00305D72" w:rsidRPr="005A00C7" w:rsidTr="00B666FE">
        <w:trPr>
          <w:trHeight w:val="415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05D72" w:rsidRPr="00BF0539" w:rsidRDefault="00305D72" w:rsidP="0002508D">
            <w:pPr>
              <w:spacing w:before="240" w:after="240"/>
              <w:jc w:val="center"/>
              <w:rPr>
                <w:b/>
                <w:lang w:val="en-US"/>
              </w:rPr>
            </w:pPr>
            <w:r w:rsidRPr="00BF0539">
              <w:rPr>
                <w:b/>
                <w:lang w:val="en-US"/>
              </w:rPr>
              <w:t>2. Protection against hazards arising from the electrical equipment</w:t>
            </w:r>
          </w:p>
        </w:tc>
      </w:tr>
      <w:tr w:rsidR="00B666FE" w:rsidRPr="00213498" w:rsidTr="00226F22">
        <w:trPr>
          <w:trHeight w:val="671"/>
        </w:trPr>
        <w:tc>
          <w:tcPr>
            <w:tcW w:w="1787" w:type="pct"/>
            <w:vAlign w:val="center"/>
          </w:tcPr>
          <w:p w:rsidR="00B666FE" w:rsidRPr="00B15757" w:rsidRDefault="00B666FE" w:rsidP="0002508D">
            <w:pPr>
              <w:spacing w:before="240" w:after="240" w:line="276" w:lineRule="auto"/>
              <w:rPr>
                <w:rFonts w:cs="EUAlbertina"/>
                <w:color w:val="19161A"/>
              </w:rPr>
            </w:pPr>
          </w:p>
        </w:tc>
        <w:tc>
          <w:tcPr>
            <w:tcW w:w="593" w:type="pct"/>
            <w:vAlign w:val="center"/>
          </w:tcPr>
          <w:p w:rsidR="00B666FE" w:rsidRPr="00556F94" w:rsidRDefault="00B666FE" w:rsidP="00226F22">
            <w:pPr>
              <w:spacing w:before="240" w:after="240"/>
              <w:rPr>
                <w:lang w:val="en-US"/>
              </w:rPr>
            </w:pPr>
          </w:p>
        </w:tc>
        <w:tc>
          <w:tcPr>
            <w:tcW w:w="2126" w:type="pct"/>
            <w:vAlign w:val="center"/>
          </w:tcPr>
          <w:p w:rsidR="00B666FE" w:rsidRPr="00556F94" w:rsidRDefault="00B666FE" w:rsidP="003E2F28">
            <w:pPr>
              <w:spacing w:before="240" w:after="240"/>
              <w:jc w:val="left"/>
              <w:rPr>
                <w:lang w:val="en-US"/>
              </w:rPr>
            </w:pPr>
          </w:p>
        </w:tc>
        <w:tc>
          <w:tcPr>
            <w:tcW w:w="494" w:type="pct"/>
            <w:vAlign w:val="center"/>
          </w:tcPr>
          <w:p w:rsidR="00B666FE" w:rsidRPr="00556F94" w:rsidRDefault="00E8239F" w:rsidP="0002508D">
            <w:pPr>
              <w:spacing w:before="240" w:after="240"/>
              <w:jc w:val="left"/>
              <w:rPr>
                <w:lang w:val="en-US"/>
              </w:rPr>
            </w:pPr>
            <w:r>
              <w:rPr>
                <w:lang w:val="en-US"/>
              </w:rPr>
              <w:t>See #</w:t>
            </w:r>
          </w:p>
        </w:tc>
      </w:tr>
    </w:tbl>
    <w:p w:rsidR="00F2130C" w:rsidRDefault="00F2130C">
      <w:r>
        <w:br w:type="page"/>
      </w:r>
    </w:p>
    <w:tbl>
      <w:tblPr>
        <w:tblStyle w:val="Tablaconcuadrcula"/>
        <w:tblpPr w:leftFromText="141" w:rightFromText="141" w:vertAnchor="text" w:tblpXSpec="center" w:tblpY="1"/>
        <w:tblOverlap w:val="never"/>
        <w:tblW w:w="4040" w:type="pct"/>
        <w:tblLook w:val="04A0" w:firstRow="1" w:lastRow="0" w:firstColumn="1" w:lastColumn="0" w:noHBand="0" w:noVBand="1"/>
      </w:tblPr>
      <w:tblGrid>
        <w:gridCol w:w="4041"/>
        <w:gridCol w:w="1771"/>
        <w:gridCol w:w="4378"/>
        <w:gridCol w:w="1117"/>
      </w:tblGrid>
      <w:tr w:rsidR="00305D72" w:rsidRPr="005A00C7" w:rsidTr="00B666FE">
        <w:trPr>
          <w:trHeight w:val="322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5D498E" w:rsidRPr="00462738" w:rsidRDefault="005D498E" w:rsidP="0002508D">
            <w:pPr>
              <w:spacing w:before="240" w:after="240" w:line="276" w:lineRule="auto"/>
              <w:jc w:val="center"/>
              <w:rPr>
                <w:highlight w:val="yellow"/>
                <w:lang w:val="en-US"/>
              </w:rPr>
            </w:pPr>
          </w:p>
          <w:p w:rsidR="00305D72" w:rsidRPr="006561B2" w:rsidRDefault="00305D72" w:rsidP="0002508D">
            <w:pPr>
              <w:spacing w:before="240" w:after="240" w:line="276" w:lineRule="auto"/>
              <w:jc w:val="center"/>
              <w:rPr>
                <w:b/>
                <w:highlight w:val="yellow"/>
                <w:lang w:val="en-US"/>
              </w:rPr>
            </w:pPr>
            <w:r w:rsidRPr="006561B2">
              <w:rPr>
                <w:b/>
                <w:lang w:val="en-US"/>
              </w:rPr>
              <w:t>3. Protection against hazards which may be caused by external influences on the electrical equipment</w:t>
            </w:r>
          </w:p>
        </w:tc>
      </w:tr>
      <w:tr w:rsidR="00B666FE" w:rsidRPr="005A00C7" w:rsidTr="003E2F28">
        <w:trPr>
          <w:trHeight w:val="199"/>
        </w:trPr>
        <w:tc>
          <w:tcPr>
            <w:tcW w:w="1787" w:type="pct"/>
            <w:vAlign w:val="center"/>
          </w:tcPr>
          <w:p w:rsidR="00B666FE" w:rsidRPr="00B15757" w:rsidRDefault="00B666FE" w:rsidP="0002508D">
            <w:pPr>
              <w:spacing w:before="240" w:after="240" w:line="276" w:lineRule="auto"/>
              <w:rPr>
                <w:rFonts w:cs="EUAlbertina"/>
                <w:color w:val="19161A"/>
                <w:lang w:val="en-US"/>
              </w:rPr>
            </w:pPr>
          </w:p>
        </w:tc>
        <w:tc>
          <w:tcPr>
            <w:tcW w:w="783" w:type="pct"/>
            <w:vAlign w:val="center"/>
          </w:tcPr>
          <w:p w:rsidR="00B666FE" w:rsidRDefault="00B666FE" w:rsidP="0002508D">
            <w:pPr>
              <w:spacing w:before="240" w:after="240"/>
              <w:jc w:val="center"/>
              <w:rPr>
                <w:lang w:val="en-US"/>
              </w:rPr>
            </w:pPr>
          </w:p>
        </w:tc>
        <w:tc>
          <w:tcPr>
            <w:tcW w:w="1936" w:type="pct"/>
            <w:vAlign w:val="center"/>
          </w:tcPr>
          <w:p w:rsidR="00B666FE" w:rsidRPr="005A00C7" w:rsidRDefault="00B666FE" w:rsidP="0002508D">
            <w:pPr>
              <w:spacing w:before="240" w:after="240"/>
              <w:jc w:val="left"/>
              <w:rPr>
                <w:lang w:val="en-US"/>
              </w:rPr>
            </w:pPr>
          </w:p>
        </w:tc>
        <w:tc>
          <w:tcPr>
            <w:tcW w:w="494" w:type="pct"/>
            <w:vAlign w:val="center"/>
          </w:tcPr>
          <w:p w:rsidR="00B666FE" w:rsidRPr="005A00C7" w:rsidRDefault="00E8239F" w:rsidP="0002508D">
            <w:pPr>
              <w:spacing w:before="240" w:after="240"/>
              <w:jc w:val="left"/>
              <w:rPr>
                <w:lang w:val="en-US"/>
              </w:rPr>
            </w:pPr>
            <w:r>
              <w:rPr>
                <w:lang w:val="en-US"/>
              </w:rPr>
              <w:t>See #</w:t>
            </w:r>
          </w:p>
        </w:tc>
      </w:tr>
    </w:tbl>
    <w:p w:rsidR="006561B2" w:rsidRPr="005A00C7" w:rsidRDefault="006561B2" w:rsidP="005A00C7">
      <w:pPr>
        <w:jc w:val="center"/>
        <w:rPr>
          <w:lang w:val="en-US"/>
        </w:rPr>
      </w:pPr>
    </w:p>
    <w:p w:rsidR="00B666FE" w:rsidRDefault="00B666FE">
      <w:r>
        <w:br w:type="page"/>
      </w:r>
    </w:p>
    <w:tbl>
      <w:tblPr>
        <w:tblStyle w:val="Tablaconcuadrcula"/>
        <w:tblpPr w:leftFromText="141" w:rightFromText="141" w:vertAnchor="text" w:tblpXSpec="center" w:tblpY="1"/>
        <w:tblOverlap w:val="never"/>
        <w:tblW w:w="4549" w:type="pct"/>
        <w:tblLook w:val="04A0" w:firstRow="1" w:lastRow="0" w:firstColumn="1" w:lastColumn="0" w:noHBand="0" w:noVBand="1"/>
      </w:tblPr>
      <w:tblGrid>
        <w:gridCol w:w="4138"/>
        <w:gridCol w:w="1889"/>
        <w:gridCol w:w="4459"/>
        <w:gridCol w:w="2246"/>
      </w:tblGrid>
      <w:tr w:rsidR="006561B2" w:rsidRPr="006561B2" w:rsidTr="00B666FE">
        <w:trPr>
          <w:trHeight w:val="322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6561B2" w:rsidRPr="00462738" w:rsidRDefault="006561B2" w:rsidP="005B6184">
            <w:pPr>
              <w:spacing w:before="240" w:after="240" w:line="276" w:lineRule="auto"/>
              <w:jc w:val="center"/>
              <w:rPr>
                <w:highlight w:val="yellow"/>
                <w:lang w:val="en-US"/>
              </w:rPr>
            </w:pPr>
          </w:p>
          <w:p w:rsidR="006561B2" w:rsidRPr="006561B2" w:rsidRDefault="006561B2" w:rsidP="006561B2">
            <w:pPr>
              <w:spacing w:before="240" w:after="240" w:line="276" w:lineRule="auto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Pr="006561B2">
              <w:rPr>
                <w:b/>
                <w:lang w:val="en-US"/>
              </w:rPr>
              <w:t xml:space="preserve">. </w:t>
            </w:r>
            <w:r w:rsidRPr="00BF0539">
              <w:rPr>
                <w:b/>
                <w:lang w:val="en-US"/>
              </w:rPr>
              <w:t xml:space="preserve"> Protection against hazards arising from the </w:t>
            </w:r>
            <w:r>
              <w:rPr>
                <w:b/>
                <w:lang w:val="en-US"/>
              </w:rPr>
              <w:t>pneumatic</w:t>
            </w:r>
            <w:r w:rsidRPr="00BF0539">
              <w:rPr>
                <w:b/>
                <w:lang w:val="en-US"/>
              </w:rPr>
              <w:t xml:space="preserve"> equipment</w:t>
            </w:r>
          </w:p>
        </w:tc>
      </w:tr>
      <w:tr w:rsidR="00B666FE" w:rsidRPr="00556F94" w:rsidTr="00686C93">
        <w:trPr>
          <w:trHeight w:val="479"/>
        </w:trPr>
        <w:tc>
          <w:tcPr>
            <w:tcW w:w="1625" w:type="pct"/>
            <w:vAlign w:val="center"/>
          </w:tcPr>
          <w:p w:rsidR="00B666FE" w:rsidRPr="00B15757" w:rsidRDefault="00B666FE" w:rsidP="005B6184">
            <w:pPr>
              <w:spacing w:before="240" w:after="240" w:line="276" w:lineRule="auto"/>
              <w:rPr>
                <w:lang w:val="en-US"/>
              </w:rPr>
            </w:pPr>
          </w:p>
        </w:tc>
        <w:tc>
          <w:tcPr>
            <w:tcW w:w="742" w:type="pct"/>
            <w:vAlign w:val="center"/>
          </w:tcPr>
          <w:p w:rsidR="00B666FE" w:rsidRPr="00556F94" w:rsidRDefault="00B666FE" w:rsidP="00226F22">
            <w:pPr>
              <w:spacing w:before="240" w:after="240"/>
              <w:rPr>
                <w:lang w:val="en-US"/>
              </w:rPr>
            </w:pPr>
          </w:p>
        </w:tc>
        <w:tc>
          <w:tcPr>
            <w:tcW w:w="1751" w:type="pct"/>
            <w:vAlign w:val="center"/>
          </w:tcPr>
          <w:p w:rsidR="00B666FE" w:rsidRPr="00556F94" w:rsidRDefault="00B666FE" w:rsidP="005B6184">
            <w:pPr>
              <w:spacing w:before="240" w:after="240"/>
              <w:jc w:val="left"/>
              <w:rPr>
                <w:lang w:val="en-US"/>
              </w:rPr>
            </w:pPr>
          </w:p>
        </w:tc>
        <w:tc>
          <w:tcPr>
            <w:tcW w:w="882" w:type="pct"/>
            <w:vAlign w:val="center"/>
          </w:tcPr>
          <w:p w:rsidR="00B666FE" w:rsidRPr="00556F94" w:rsidRDefault="00E8239F" w:rsidP="005B6184">
            <w:pPr>
              <w:spacing w:before="240" w:after="240"/>
              <w:jc w:val="left"/>
              <w:rPr>
                <w:lang w:val="en-US"/>
              </w:rPr>
            </w:pPr>
            <w:r>
              <w:rPr>
                <w:lang w:val="en-US"/>
              </w:rPr>
              <w:t>See #</w:t>
            </w:r>
          </w:p>
        </w:tc>
      </w:tr>
    </w:tbl>
    <w:p w:rsidR="0040055C" w:rsidRDefault="0040055C">
      <w:bookmarkStart w:id="0" w:name="_GoBack"/>
      <w:bookmarkEnd w:id="0"/>
      <w:r>
        <w:br w:type="page"/>
      </w:r>
    </w:p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157"/>
        <w:gridCol w:w="1763"/>
        <w:gridCol w:w="4114"/>
        <w:gridCol w:w="3960"/>
      </w:tblGrid>
      <w:tr w:rsidR="00BE3F08" w:rsidRPr="006561B2" w:rsidTr="000D4272">
        <w:trPr>
          <w:trHeight w:val="322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40055C" w:rsidRDefault="0040055C" w:rsidP="005B6184">
            <w:pPr>
              <w:spacing w:before="240" w:after="240" w:line="276" w:lineRule="auto"/>
              <w:jc w:val="center"/>
              <w:rPr>
                <w:b/>
                <w:lang w:val="en-US"/>
              </w:rPr>
            </w:pPr>
          </w:p>
          <w:p w:rsidR="00BE3F08" w:rsidRPr="006561B2" w:rsidRDefault="00BE3F08" w:rsidP="005B6184">
            <w:pPr>
              <w:spacing w:before="240" w:after="240" w:line="276" w:lineRule="auto"/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  <w:lang w:val="en-US"/>
              </w:rPr>
              <w:t>5</w:t>
            </w:r>
            <w:r w:rsidRPr="006561B2">
              <w:rPr>
                <w:b/>
                <w:lang w:val="en-US"/>
              </w:rPr>
              <w:t xml:space="preserve">. </w:t>
            </w:r>
            <w:r w:rsidRPr="00BF0539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Functioning issues based on control modes</w:t>
            </w:r>
          </w:p>
        </w:tc>
      </w:tr>
      <w:tr w:rsidR="00E219FF" w:rsidRPr="000D4272" w:rsidTr="000D4272">
        <w:trPr>
          <w:trHeight w:val="456"/>
        </w:trPr>
        <w:tc>
          <w:tcPr>
            <w:tcW w:w="1485" w:type="pct"/>
            <w:vAlign w:val="center"/>
          </w:tcPr>
          <w:p w:rsidR="00E219FF" w:rsidRPr="0031317C" w:rsidRDefault="00E219FF" w:rsidP="005B6184">
            <w:pPr>
              <w:spacing w:before="240" w:after="240" w:line="276" w:lineRule="auto"/>
              <w:rPr>
                <w:rFonts w:cs="EUAlbertina"/>
                <w:color w:val="000000" w:themeColor="text1"/>
              </w:rPr>
            </w:pPr>
          </w:p>
        </w:tc>
        <w:tc>
          <w:tcPr>
            <w:tcW w:w="630" w:type="pct"/>
            <w:vAlign w:val="center"/>
          </w:tcPr>
          <w:p w:rsidR="00E219FF" w:rsidRPr="0031317C" w:rsidRDefault="00E219FF" w:rsidP="005B6184">
            <w:pPr>
              <w:spacing w:before="240" w:after="240"/>
              <w:jc w:val="center"/>
              <w:rPr>
                <w:color w:val="000000" w:themeColor="text1"/>
              </w:rPr>
            </w:pPr>
          </w:p>
        </w:tc>
        <w:tc>
          <w:tcPr>
            <w:tcW w:w="1470" w:type="pct"/>
            <w:vAlign w:val="center"/>
          </w:tcPr>
          <w:p w:rsidR="00E219FF" w:rsidRPr="0031317C" w:rsidRDefault="00E219FF" w:rsidP="00ED56DA">
            <w:pPr>
              <w:spacing w:before="240" w:after="240"/>
              <w:jc w:val="left"/>
              <w:rPr>
                <w:color w:val="000000" w:themeColor="text1"/>
              </w:rPr>
            </w:pPr>
          </w:p>
        </w:tc>
        <w:tc>
          <w:tcPr>
            <w:tcW w:w="1415" w:type="pct"/>
            <w:vAlign w:val="center"/>
          </w:tcPr>
          <w:p w:rsidR="00E8239F" w:rsidRPr="00E8239F" w:rsidRDefault="00E8239F" w:rsidP="00E8239F">
            <w:pPr>
              <w:spacing w:before="240" w:after="240"/>
              <w:jc w:val="left"/>
              <w:rPr>
                <w:i/>
              </w:rPr>
            </w:pPr>
            <w:r w:rsidRPr="00E8239F">
              <w:rPr>
                <w:i/>
              </w:rPr>
              <w:t xml:space="preserve">All cases have been </w:t>
            </w:r>
            <w:proofErr w:type="spellStart"/>
            <w:r w:rsidRPr="00E8239F">
              <w:rPr>
                <w:i/>
              </w:rPr>
              <w:t>analyzed</w:t>
            </w:r>
            <w:proofErr w:type="spellEnd"/>
            <w:r w:rsidRPr="00E8239F">
              <w:rPr>
                <w:i/>
              </w:rPr>
              <w:t xml:space="preserve"> in user manual or operating manual based on designed alarms</w:t>
            </w:r>
          </w:p>
          <w:p w:rsidR="00E219FF" w:rsidRPr="0031317C" w:rsidRDefault="00E8239F" w:rsidP="00E8239F">
            <w:pPr>
              <w:spacing w:before="240" w:after="240"/>
              <w:jc w:val="left"/>
              <w:rPr>
                <w:color w:val="FF0000"/>
              </w:rPr>
            </w:pPr>
            <w:r w:rsidRPr="0031317C">
              <w:t>See #</w:t>
            </w:r>
          </w:p>
        </w:tc>
      </w:tr>
    </w:tbl>
    <w:p w:rsidR="0040055C" w:rsidRPr="000D4272" w:rsidRDefault="0040055C">
      <w:pPr>
        <w:rPr>
          <w:color w:val="FF0000"/>
        </w:rPr>
      </w:pPr>
      <w:r w:rsidRPr="000D4272">
        <w:rPr>
          <w:color w:val="FF0000"/>
        </w:rPr>
        <w:br w:type="page"/>
      </w:r>
    </w:p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165"/>
        <w:gridCol w:w="1774"/>
        <w:gridCol w:w="4123"/>
        <w:gridCol w:w="3932"/>
      </w:tblGrid>
      <w:tr w:rsidR="00AE5213" w:rsidRPr="00AE5213" w:rsidTr="001B3745">
        <w:trPr>
          <w:trHeight w:val="322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40055C" w:rsidRPr="00F2130C" w:rsidRDefault="0040055C" w:rsidP="001B3745">
            <w:pPr>
              <w:spacing w:before="240" w:after="240" w:line="276" w:lineRule="auto"/>
              <w:jc w:val="center"/>
              <w:rPr>
                <w:color w:val="000000" w:themeColor="text1"/>
                <w:highlight w:val="yellow"/>
              </w:rPr>
            </w:pPr>
          </w:p>
          <w:p w:rsidR="0040055C" w:rsidRPr="00F2130C" w:rsidRDefault="0040055C" w:rsidP="001B3745">
            <w:pPr>
              <w:spacing w:before="240" w:after="240" w:line="276" w:lineRule="auto"/>
              <w:jc w:val="center"/>
              <w:rPr>
                <w:b/>
                <w:color w:val="000000" w:themeColor="text1"/>
                <w:highlight w:val="yellow"/>
                <w:lang w:val="en-US"/>
              </w:rPr>
            </w:pPr>
            <w:r w:rsidRPr="00F2130C">
              <w:rPr>
                <w:b/>
                <w:color w:val="000000" w:themeColor="text1"/>
                <w:lang w:val="en-US"/>
              </w:rPr>
              <w:t>6. Protection against hazards arising of patient actions</w:t>
            </w:r>
          </w:p>
        </w:tc>
      </w:tr>
      <w:tr w:rsidR="00F2130C" w:rsidRPr="00AE5213" w:rsidTr="0031317C">
        <w:trPr>
          <w:trHeight w:val="456"/>
        </w:trPr>
        <w:tc>
          <w:tcPr>
            <w:tcW w:w="1488" w:type="pct"/>
            <w:vAlign w:val="center"/>
          </w:tcPr>
          <w:p w:rsidR="00F2130C" w:rsidRPr="00F2130C" w:rsidRDefault="00F2130C" w:rsidP="001B3745">
            <w:pPr>
              <w:spacing w:before="240" w:after="240" w:line="276" w:lineRule="auto"/>
              <w:rPr>
                <w:rFonts w:cs="EUAlbertina"/>
                <w:color w:val="000000" w:themeColor="text1"/>
              </w:rPr>
            </w:pPr>
          </w:p>
        </w:tc>
        <w:tc>
          <w:tcPr>
            <w:tcW w:w="634" w:type="pct"/>
            <w:vAlign w:val="center"/>
          </w:tcPr>
          <w:p w:rsidR="00F2130C" w:rsidRPr="00F2130C" w:rsidRDefault="00F2130C" w:rsidP="001B3745">
            <w:pPr>
              <w:spacing w:before="240" w:after="24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73" w:type="pct"/>
            <w:vAlign w:val="center"/>
          </w:tcPr>
          <w:p w:rsidR="00F2130C" w:rsidRPr="00F2130C" w:rsidRDefault="00F2130C" w:rsidP="001B3745">
            <w:pPr>
              <w:spacing w:before="240" w:after="240"/>
              <w:jc w:val="left"/>
              <w:rPr>
                <w:color w:val="000000" w:themeColor="text1"/>
              </w:rPr>
            </w:pPr>
          </w:p>
        </w:tc>
        <w:tc>
          <w:tcPr>
            <w:tcW w:w="1405" w:type="pct"/>
            <w:vAlign w:val="center"/>
          </w:tcPr>
          <w:p w:rsidR="00F2130C" w:rsidRPr="00F2130C" w:rsidRDefault="00F2130C" w:rsidP="001B3745">
            <w:pPr>
              <w:spacing w:before="240" w:after="240"/>
              <w:jc w:val="left"/>
              <w:rPr>
                <w:color w:val="000000" w:themeColor="text1"/>
              </w:rPr>
            </w:pPr>
          </w:p>
        </w:tc>
      </w:tr>
    </w:tbl>
    <w:p w:rsidR="00FE6CFE" w:rsidRPr="00F2130C" w:rsidRDefault="00FE6CFE" w:rsidP="005A00C7">
      <w:pPr>
        <w:jc w:val="center"/>
      </w:pPr>
    </w:p>
    <w:sectPr w:rsidR="00FE6CFE" w:rsidRPr="00F2130C" w:rsidSect="00A52773">
      <w:headerReference w:type="default" r:id="rId8"/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051" w:rsidRDefault="002B7051" w:rsidP="00A52773">
      <w:r>
        <w:separator/>
      </w:r>
    </w:p>
  </w:endnote>
  <w:endnote w:type="continuationSeparator" w:id="0">
    <w:p w:rsidR="002B7051" w:rsidRDefault="002B7051" w:rsidP="00A5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051" w:rsidRDefault="002B7051" w:rsidP="00A52773">
      <w:r>
        <w:separator/>
      </w:r>
    </w:p>
  </w:footnote>
  <w:footnote w:type="continuationSeparator" w:id="0">
    <w:p w:rsidR="002B7051" w:rsidRDefault="002B7051" w:rsidP="00A52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07A" w:rsidRPr="0096107A" w:rsidRDefault="0096107A">
    <w:pPr>
      <w:pStyle w:val="Encabezado"/>
      <w:rPr>
        <w:lang w:val="es-ES"/>
      </w:rPr>
    </w:pP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24A"/>
    <w:multiLevelType w:val="hybridMultilevel"/>
    <w:tmpl w:val="41886E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46D9"/>
    <w:multiLevelType w:val="hybridMultilevel"/>
    <w:tmpl w:val="44DE5ADA"/>
    <w:lvl w:ilvl="0" w:tplc="BD2A7B18">
      <w:start w:val="1"/>
      <w:numFmt w:val="decimal"/>
      <w:lvlText w:val="%1-"/>
      <w:lvlJc w:val="left"/>
      <w:pPr>
        <w:ind w:left="705" w:hanging="705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E47787"/>
    <w:multiLevelType w:val="hybridMultilevel"/>
    <w:tmpl w:val="6FBCEEB4"/>
    <w:lvl w:ilvl="0" w:tplc="0660019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026ECB"/>
    <w:multiLevelType w:val="hybridMultilevel"/>
    <w:tmpl w:val="78C6B762"/>
    <w:lvl w:ilvl="0" w:tplc="3980532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FB2009"/>
    <w:multiLevelType w:val="hybridMultilevel"/>
    <w:tmpl w:val="9B30F578"/>
    <w:lvl w:ilvl="0" w:tplc="F4945C3A">
      <w:start w:val="1"/>
      <w:numFmt w:val="lowerLetter"/>
      <w:lvlText w:val="%1)"/>
      <w:lvlJc w:val="left"/>
      <w:pPr>
        <w:ind w:left="360" w:hanging="360"/>
      </w:pPr>
      <w:rPr>
        <w:rFonts w:cs="EUAlbertina" w:hint="default"/>
        <w:color w:val="19161A"/>
        <w:sz w:val="17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4C5F86"/>
    <w:multiLevelType w:val="hybridMultilevel"/>
    <w:tmpl w:val="718A1A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5B4C46"/>
    <w:multiLevelType w:val="hybridMultilevel"/>
    <w:tmpl w:val="225ECCA6"/>
    <w:lvl w:ilvl="0" w:tplc="93386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613E3"/>
    <w:multiLevelType w:val="hybridMultilevel"/>
    <w:tmpl w:val="2D043D5C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521931"/>
    <w:multiLevelType w:val="hybridMultilevel"/>
    <w:tmpl w:val="CC487556"/>
    <w:lvl w:ilvl="0" w:tplc="DB2A5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D26FE"/>
    <w:multiLevelType w:val="hybridMultilevel"/>
    <w:tmpl w:val="2D043D5C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A12713"/>
    <w:multiLevelType w:val="hybridMultilevel"/>
    <w:tmpl w:val="704CB3AA"/>
    <w:lvl w:ilvl="0" w:tplc="7EFAE3A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CD3B3A"/>
    <w:multiLevelType w:val="hybridMultilevel"/>
    <w:tmpl w:val="C38ED0BC"/>
    <w:lvl w:ilvl="0" w:tplc="BF7C8E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83"/>
    <w:rsid w:val="0002508D"/>
    <w:rsid w:val="000516D2"/>
    <w:rsid w:val="00052E31"/>
    <w:rsid w:val="00056205"/>
    <w:rsid w:val="00064774"/>
    <w:rsid w:val="00065A15"/>
    <w:rsid w:val="00071D0D"/>
    <w:rsid w:val="0007700E"/>
    <w:rsid w:val="00080481"/>
    <w:rsid w:val="00083284"/>
    <w:rsid w:val="000A552D"/>
    <w:rsid w:val="000D4272"/>
    <w:rsid w:val="000E3A5D"/>
    <w:rsid w:val="00114C27"/>
    <w:rsid w:val="0014119F"/>
    <w:rsid w:val="0014296A"/>
    <w:rsid w:val="001476C3"/>
    <w:rsid w:val="001876F1"/>
    <w:rsid w:val="001B02CD"/>
    <w:rsid w:val="001B06B3"/>
    <w:rsid w:val="001C4A0C"/>
    <w:rsid w:val="001C5453"/>
    <w:rsid w:val="001D46EB"/>
    <w:rsid w:val="001F26DD"/>
    <w:rsid w:val="001F3974"/>
    <w:rsid w:val="001F486F"/>
    <w:rsid w:val="0020213F"/>
    <w:rsid w:val="00213498"/>
    <w:rsid w:val="00226F22"/>
    <w:rsid w:val="00246557"/>
    <w:rsid w:val="00252ECF"/>
    <w:rsid w:val="002547B2"/>
    <w:rsid w:val="00257086"/>
    <w:rsid w:val="00261052"/>
    <w:rsid w:val="00264D6A"/>
    <w:rsid w:val="002B7051"/>
    <w:rsid w:val="003020A0"/>
    <w:rsid w:val="00305D72"/>
    <w:rsid w:val="0031317C"/>
    <w:rsid w:val="00314272"/>
    <w:rsid w:val="00353852"/>
    <w:rsid w:val="00356197"/>
    <w:rsid w:val="00370984"/>
    <w:rsid w:val="003744AF"/>
    <w:rsid w:val="00376103"/>
    <w:rsid w:val="00384AB6"/>
    <w:rsid w:val="003A20AC"/>
    <w:rsid w:val="003A5206"/>
    <w:rsid w:val="003C5921"/>
    <w:rsid w:val="003E2F28"/>
    <w:rsid w:val="003F5776"/>
    <w:rsid w:val="0040055C"/>
    <w:rsid w:val="00402E64"/>
    <w:rsid w:val="00420633"/>
    <w:rsid w:val="0043258F"/>
    <w:rsid w:val="004460BB"/>
    <w:rsid w:val="00462295"/>
    <w:rsid w:val="00462738"/>
    <w:rsid w:val="004642A8"/>
    <w:rsid w:val="004763F4"/>
    <w:rsid w:val="00481660"/>
    <w:rsid w:val="00483441"/>
    <w:rsid w:val="004A32EC"/>
    <w:rsid w:val="004A6E0B"/>
    <w:rsid w:val="004B08D0"/>
    <w:rsid w:val="004B5956"/>
    <w:rsid w:val="004E4A29"/>
    <w:rsid w:val="004E5E48"/>
    <w:rsid w:val="004E7977"/>
    <w:rsid w:val="0050640A"/>
    <w:rsid w:val="00527BBA"/>
    <w:rsid w:val="005405D6"/>
    <w:rsid w:val="00556F94"/>
    <w:rsid w:val="0058614C"/>
    <w:rsid w:val="00595B10"/>
    <w:rsid w:val="005A00C7"/>
    <w:rsid w:val="005D498E"/>
    <w:rsid w:val="005D4D04"/>
    <w:rsid w:val="005D6E68"/>
    <w:rsid w:val="005E6CF2"/>
    <w:rsid w:val="00611B5B"/>
    <w:rsid w:val="00615BDF"/>
    <w:rsid w:val="00617AEC"/>
    <w:rsid w:val="00637A97"/>
    <w:rsid w:val="00640C37"/>
    <w:rsid w:val="00650118"/>
    <w:rsid w:val="0065471D"/>
    <w:rsid w:val="006561B2"/>
    <w:rsid w:val="0066221D"/>
    <w:rsid w:val="00686C93"/>
    <w:rsid w:val="006A076B"/>
    <w:rsid w:val="006B047B"/>
    <w:rsid w:val="006B44B8"/>
    <w:rsid w:val="006E4D0B"/>
    <w:rsid w:val="006F38A8"/>
    <w:rsid w:val="0071156F"/>
    <w:rsid w:val="00730F4F"/>
    <w:rsid w:val="007553C7"/>
    <w:rsid w:val="00761940"/>
    <w:rsid w:val="00762C20"/>
    <w:rsid w:val="0077722F"/>
    <w:rsid w:val="0077723E"/>
    <w:rsid w:val="0077768A"/>
    <w:rsid w:val="00787EFA"/>
    <w:rsid w:val="00791534"/>
    <w:rsid w:val="007D4E11"/>
    <w:rsid w:val="007E60BC"/>
    <w:rsid w:val="007F70DA"/>
    <w:rsid w:val="00814C1D"/>
    <w:rsid w:val="008154FC"/>
    <w:rsid w:val="00832F5F"/>
    <w:rsid w:val="00860F98"/>
    <w:rsid w:val="00872395"/>
    <w:rsid w:val="00887EB6"/>
    <w:rsid w:val="008A2BCE"/>
    <w:rsid w:val="008B6B0B"/>
    <w:rsid w:val="008B6FCD"/>
    <w:rsid w:val="008C4F79"/>
    <w:rsid w:val="008D0BF0"/>
    <w:rsid w:val="008D7C55"/>
    <w:rsid w:val="008E1A12"/>
    <w:rsid w:val="008E2DCE"/>
    <w:rsid w:val="0092337D"/>
    <w:rsid w:val="009303D8"/>
    <w:rsid w:val="009446CA"/>
    <w:rsid w:val="00952680"/>
    <w:rsid w:val="00953DC4"/>
    <w:rsid w:val="0096107A"/>
    <w:rsid w:val="00973F05"/>
    <w:rsid w:val="00974995"/>
    <w:rsid w:val="0098389F"/>
    <w:rsid w:val="0099452C"/>
    <w:rsid w:val="00995C06"/>
    <w:rsid w:val="009A28AD"/>
    <w:rsid w:val="009A36FF"/>
    <w:rsid w:val="009A7F25"/>
    <w:rsid w:val="00A07C26"/>
    <w:rsid w:val="00A11665"/>
    <w:rsid w:val="00A12408"/>
    <w:rsid w:val="00A20D50"/>
    <w:rsid w:val="00A25075"/>
    <w:rsid w:val="00A33B87"/>
    <w:rsid w:val="00A45557"/>
    <w:rsid w:val="00A52773"/>
    <w:rsid w:val="00A52D39"/>
    <w:rsid w:val="00A60704"/>
    <w:rsid w:val="00A72293"/>
    <w:rsid w:val="00A73B8F"/>
    <w:rsid w:val="00A84DA1"/>
    <w:rsid w:val="00AE5213"/>
    <w:rsid w:val="00AF4FE2"/>
    <w:rsid w:val="00AF6AFA"/>
    <w:rsid w:val="00AF77D8"/>
    <w:rsid w:val="00B01CFF"/>
    <w:rsid w:val="00B15757"/>
    <w:rsid w:val="00B470E1"/>
    <w:rsid w:val="00B666FE"/>
    <w:rsid w:val="00B66C86"/>
    <w:rsid w:val="00B77D12"/>
    <w:rsid w:val="00BD721A"/>
    <w:rsid w:val="00BE3F08"/>
    <w:rsid w:val="00BE528A"/>
    <w:rsid w:val="00BF0539"/>
    <w:rsid w:val="00C10822"/>
    <w:rsid w:val="00C168EF"/>
    <w:rsid w:val="00C26C00"/>
    <w:rsid w:val="00C578B2"/>
    <w:rsid w:val="00C70F47"/>
    <w:rsid w:val="00C96B06"/>
    <w:rsid w:val="00CA5387"/>
    <w:rsid w:val="00CB014A"/>
    <w:rsid w:val="00CB08B7"/>
    <w:rsid w:val="00CB19C4"/>
    <w:rsid w:val="00CB5005"/>
    <w:rsid w:val="00CB5ED4"/>
    <w:rsid w:val="00CC6E65"/>
    <w:rsid w:val="00CD2CAA"/>
    <w:rsid w:val="00CF4392"/>
    <w:rsid w:val="00D02A5C"/>
    <w:rsid w:val="00D2212F"/>
    <w:rsid w:val="00D22E53"/>
    <w:rsid w:val="00D27637"/>
    <w:rsid w:val="00D4075A"/>
    <w:rsid w:val="00D4435C"/>
    <w:rsid w:val="00D63A30"/>
    <w:rsid w:val="00D72995"/>
    <w:rsid w:val="00D758B8"/>
    <w:rsid w:val="00DD70C2"/>
    <w:rsid w:val="00DD7AD8"/>
    <w:rsid w:val="00DF6338"/>
    <w:rsid w:val="00E05F56"/>
    <w:rsid w:val="00E159DF"/>
    <w:rsid w:val="00E219FF"/>
    <w:rsid w:val="00E23083"/>
    <w:rsid w:val="00E2328A"/>
    <w:rsid w:val="00E63449"/>
    <w:rsid w:val="00E8239F"/>
    <w:rsid w:val="00EA3B15"/>
    <w:rsid w:val="00EC0647"/>
    <w:rsid w:val="00ED56DA"/>
    <w:rsid w:val="00EE2D0C"/>
    <w:rsid w:val="00EF0132"/>
    <w:rsid w:val="00EF132C"/>
    <w:rsid w:val="00F04C9C"/>
    <w:rsid w:val="00F1052E"/>
    <w:rsid w:val="00F2130C"/>
    <w:rsid w:val="00F3025C"/>
    <w:rsid w:val="00F321C9"/>
    <w:rsid w:val="00F339B0"/>
    <w:rsid w:val="00F41787"/>
    <w:rsid w:val="00F4533B"/>
    <w:rsid w:val="00F51137"/>
    <w:rsid w:val="00F951AF"/>
    <w:rsid w:val="00F96BD3"/>
    <w:rsid w:val="00F9794B"/>
    <w:rsid w:val="00FC127C"/>
    <w:rsid w:val="00FD48D1"/>
    <w:rsid w:val="00FD4CBA"/>
    <w:rsid w:val="00FE6CFE"/>
    <w:rsid w:val="00FF6AFE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1656"/>
  <w15:docId w15:val="{BB8CA414-296D-467B-9637-8E9FD983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083"/>
    <w:pPr>
      <w:spacing w:after="0" w:line="240" w:lineRule="auto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cell">
    <w:name w:val="TABLE-cell"/>
    <w:basedOn w:val="Normal"/>
    <w:qFormat/>
    <w:rsid w:val="00E23083"/>
    <w:pPr>
      <w:snapToGrid w:val="0"/>
      <w:spacing w:before="60" w:after="60"/>
      <w:jc w:val="left"/>
    </w:pPr>
    <w:rPr>
      <w:bCs/>
      <w:spacing w:val="0"/>
      <w:sz w:val="16"/>
    </w:rPr>
  </w:style>
  <w:style w:type="paragraph" w:customStyle="1" w:styleId="TABLE-col-heading">
    <w:name w:val="TABLE-col-heading"/>
    <w:basedOn w:val="Normal"/>
    <w:qFormat/>
    <w:rsid w:val="00E23083"/>
    <w:pPr>
      <w:keepNext/>
      <w:snapToGrid w:val="0"/>
      <w:spacing w:before="60" w:after="60"/>
      <w:jc w:val="center"/>
    </w:pPr>
    <w:rPr>
      <w:b/>
      <w:bCs/>
      <w:spacing w:val="0"/>
      <w:sz w:val="16"/>
      <w:szCs w:val="16"/>
    </w:rPr>
  </w:style>
  <w:style w:type="paragraph" w:styleId="Prrafodelista">
    <w:name w:val="List Paragraph"/>
    <w:basedOn w:val="Normal"/>
    <w:uiPriority w:val="34"/>
    <w:qFormat/>
    <w:rsid w:val="00A116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27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2773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Piedepgina">
    <w:name w:val="footer"/>
    <w:basedOn w:val="Normal"/>
    <w:link w:val="PiedepginaCar"/>
    <w:uiPriority w:val="99"/>
    <w:unhideWhenUsed/>
    <w:rsid w:val="00A527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773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customStyle="1" w:styleId="CM1">
    <w:name w:val="CM1"/>
    <w:basedOn w:val="Normal"/>
    <w:next w:val="Normal"/>
    <w:uiPriority w:val="99"/>
    <w:rsid w:val="005A00C7"/>
    <w:pPr>
      <w:autoSpaceDE w:val="0"/>
      <w:autoSpaceDN w:val="0"/>
      <w:adjustRightInd w:val="0"/>
      <w:jc w:val="left"/>
    </w:pPr>
    <w:rPr>
      <w:rFonts w:ascii="EUAlbertina" w:eastAsiaTheme="minorHAnsi" w:hAnsi="EUAlbertina" w:cstheme="minorBidi"/>
      <w:spacing w:val="0"/>
      <w:sz w:val="24"/>
      <w:szCs w:val="24"/>
      <w:lang w:val="es-ES" w:eastAsia="en-US"/>
    </w:rPr>
  </w:style>
  <w:style w:type="paragraph" w:customStyle="1" w:styleId="CM3">
    <w:name w:val="CM3"/>
    <w:basedOn w:val="Normal"/>
    <w:next w:val="Normal"/>
    <w:uiPriority w:val="99"/>
    <w:rsid w:val="005A00C7"/>
    <w:pPr>
      <w:autoSpaceDE w:val="0"/>
      <w:autoSpaceDN w:val="0"/>
      <w:adjustRightInd w:val="0"/>
      <w:jc w:val="left"/>
    </w:pPr>
    <w:rPr>
      <w:rFonts w:ascii="EUAlbertina" w:eastAsiaTheme="minorHAnsi" w:hAnsi="EUAlbertina" w:cstheme="minorBidi"/>
      <w:spacing w:val="0"/>
      <w:sz w:val="24"/>
      <w:szCs w:val="24"/>
      <w:lang w:val="es-ES" w:eastAsia="en-US"/>
    </w:rPr>
  </w:style>
  <w:style w:type="paragraph" w:customStyle="1" w:styleId="Default">
    <w:name w:val="Default"/>
    <w:rsid w:val="00A73B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02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25C"/>
    <w:rPr>
      <w:rFonts w:ascii="Segoe UI" w:eastAsia="Times New Roman" w:hAnsi="Segoe UI" w:cs="Segoe UI"/>
      <w:spacing w:val="8"/>
      <w:sz w:val="18"/>
      <w:szCs w:val="18"/>
      <w:lang w:val="en-GB" w:eastAsia="zh-CN"/>
    </w:rPr>
  </w:style>
  <w:style w:type="character" w:styleId="nfasis">
    <w:name w:val="Emphasis"/>
    <w:basedOn w:val="Fuentedeprrafopredeter"/>
    <w:uiPriority w:val="20"/>
    <w:qFormat/>
    <w:rsid w:val="00065A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23988-1A34-4BF7-BD0D-A65F5524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Carlos MOLINA</dc:creator>
  <cp:lastModifiedBy>Oros Palmero-ext, Helena (GPU-SU32)</cp:lastModifiedBy>
  <cp:revision>18</cp:revision>
  <cp:lastPrinted>2019-04-08T11:44:00Z</cp:lastPrinted>
  <dcterms:created xsi:type="dcterms:W3CDTF">2023-02-16T14:08:00Z</dcterms:created>
  <dcterms:modified xsi:type="dcterms:W3CDTF">2023-02-20T09:38:00Z</dcterms:modified>
</cp:coreProperties>
</file>